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pacing w:line="360" w:lineRule="auto"/>
        <w:jc w:val="center"/>
      </w:pPr>
      <w:r>
        <w:rPr>
          <w:rFonts w:ascii="Arial" w:cs="Times New Roman" w:hAnsi="Arial"/>
          <w:b/>
          <w:i/>
          <w:iCs/>
          <w:sz w:val="22"/>
          <w:szCs w:val="22"/>
        </w:rPr>
        <w:t>Nauczyciel Jana Pawła II</w:t>
      </w:r>
    </w:p>
    <w:p>
      <w:pPr>
        <w:pStyle w:val="style29"/>
        <w:jc w:val="both"/>
      </w:pPr>
      <w:r>
        <w:rPr>
          <w:rFonts w:ascii="Arial" w:cs="Times New Roman" w:hAnsi="Arial"/>
          <w:sz w:val="20"/>
          <w:szCs w:val="20"/>
        </w:rPr>
        <w:tab/>
      </w:r>
      <w:r>
        <w:rPr>
          <w:rFonts w:ascii="Arial" w:cs="Times New Roman" w:hAnsi="Arial"/>
          <w:b/>
          <w:bCs/>
          <w:i/>
          <w:iCs/>
          <w:sz w:val="20"/>
          <w:szCs w:val="20"/>
        </w:rPr>
        <w:t>„Żyć nie oznacza czegoś abstrakcyjnego, ale znaczy konkretnie działać”</w:t>
      </w:r>
      <w:r>
        <w:rPr>
          <w:rFonts w:ascii="Arial" w:cs="Times New Roman" w:hAnsi="Arial"/>
          <w:sz w:val="20"/>
          <w:szCs w:val="20"/>
        </w:rPr>
        <w:t xml:space="preserve"> – taką dewizą w swym niezwykle pracowitym życiu kierował się </w:t>
      </w:r>
      <w:r>
        <w:rPr>
          <w:rFonts w:ascii="Arial" w:cs="Times New Roman" w:hAnsi="Arial"/>
          <w:b/>
          <w:bCs/>
          <w:sz w:val="20"/>
          <w:szCs w:val="20"/>
        </w:rPr>
        <w:t xml:space="preserve">ks. prof. Aleksy Klawek </w:t>
      </w:r>
      <w:r>
        <w:rPr>
          <w:rFonts w:ascii="Arial" w:cs="Times New Roman" w:hAnsi="Arial"/>
          <w:sz w:val="20"/>
          <w:szCs w:val="20"/>
        </w:rPr>
        <w:t>– rogoźnianin, ceniony biblista, wychowawca wielu pokoleń polskich egzegetów, redaktor znaczących pism katolickich, członek korespondent Komisji Orientalistycznej i Komisji Językoznawstwa Polskiej Akademii Nauk, doskonały znawca onomastyki biblijnej, inicjator nowego polskiego przekładu „Biblii” z języków oryginalnych, tzw. „Biblii poznańskiej”. Jego marzenie zrealizowali uczniowie: ks. prof. Michał Peter i ks. prof. Marian Wolniewicz. „Biblia” ta ukazała się w latach 1974-1976, a dedykowano ją ks. prof. A. Klawkowi.</w:t>
      </w:r>
    </w:p>
    <w:p>
      <w:pPr>
        <w:pStyle w:val="style29"/>
        <w:jc w:val="both"/>
      </w:pPr>
      <w:r>
        <w:rPr>
          <w:rFonts w:ascii="Arial" w:cs="Times New Roman" w:hAnsi="Arial"/>
          <w:sz w:val="20"/>
          <w:szCs w:val="20"/>
        </w:rPr>
        <w:tab/>
        <w:t xml:space="preserve">Profesor urodził się 11 maja 1890 r. w Rogoźnie (125 lat temu). Tutaj ukończył Gimnazjum </w:t>
        <w:br/>
        <w:t xml:space="preserve">i w 1909 r. wstąpił do Seminarium Duchownego w Poznaniu. 15 lutego 1913 r. przyjął święcenia kapłańskie w Gnieźnie, a dwa dni później, 17 lutego, odprawił w Rogoźnie mszę prymicyjną. Na pamiątce z tej mszy umieścił dwa ważne cytaty stanowiące Jego credo życiowe: „Z łaski Bożej jestem to, com jest” (św. Paweł) oraz „Mój Bóg i moje wszystko” (św. Franciszek). Swą posługę duszpasterską (jako wikary) rozpoczął </w:t>
        <w:br/>
        <w:t xml:space="preserve">w Wonieściu. Tamtejsi parafianie dobrze Go zapamiętali i bardzo cenili skoro w 2006 r. odsłonięto </w:t>
        <w:br/>
        <w:t>w tej miejscowości tablicę pamiątkową poświęconą ks. Klawkowi.</w:t>
      </w:r>
    </w:p>
    <w:p>
      <w:pPr>
        <w:pStyle w:val="style29"/>
        <w:jc w:val="both"/>
      </w:pPr>
      <w:r>
        <w:rPr>
          <w:rFonts w:ascii="Arial" w:cs="Times New Roman" w:hAnsi="Arial"/>
          <w:sz w:val="20"/>
          <w:szCs w:val="20"/>
        </w:rPr>
        <w:tab/>
        <w:t xml:space="preserve">Studia teologiczne kontynuował w Munster, Monachium, Berlinie i Wrocławiu. W 1917 r. uzyskał tytuł dra teologii, a od stycznia 1919 r. prowadził wykłady z Pisma Świętego w Seminarium Duchownym </w:t>
        <w:br/>
        <w:t>w Gnieźnie i Poznaniu. W 1921 r. uzyskał habilitację na Uniwersytecie Jana Kazimierza we Lwowie. Z tym Uniwersytetem  związany był 16 lat i na tej uczelni prowadził egzegezę Starego Testamentu, a także wykładał język hebrajski.W 1929 r. otrzymał nominację na profesora zwyczajnego. W latach 1933/34 został wybrany prorektorem Uniwersytetu Jana Kazimierza we Lwowie.</w:t>
      </w:r>
    </w:p>
    <w:p>
      <w:pPr>
        <w:pStyle w:val="style29"/>
        <w:jc w:val="both"/>
      </w:pPr>
      <w:r>
        <w:rPr>
          <w:rFonts w:ascii="Arial" w:cs="Times New Roman" w:hAnsi="Arial"/>
          <w:sz w:val="20"/>
          <w:szCs w:val="20"/>
        </w:rPr>
        <w:tab/>
        <w:t xml:space="preserve">Ks. prof. Aleksy Klawek był tytanem pracy, toteż znalazł czas na redagowanie czasopism („Przegląd Teologiczny”, „Ruch Teologiczny”), był też sekretarzem Polskiego Towarzystwa Teologicznego, organizował zjazdy polskich teologów. Zorganizował również pierwszą naukową wyprawę polskich księży do Ziemi Świętej (wrzesień 1934 r.). W czasie II wojny światowej ks. Klawek został aresztowany przez hitlerowców </w:t>
        <w:br/>
        <w:t>i osadzony w Forcie VII w Poznaniu. Uwolniono go, ale nakazano natychmiastowe opuszczenie Wielkopolski. Dlatego ks. Klawek wyjechał do Generalnej Guberni – przebywał w diecezji tarnowskiej.</w:t>
      </w:r>
    </w:p>
    <w:p>
      <w:pPr>
        <w:pStyle w:val="style29"/>
        <w:jc w:val="both"/>
      </w:pPr>
      <w:r>
        <w:rPr>
          <w:rFonts w:ascii="Arial" w:cs="Times New Roman" w:hAnsi="Arial"/>
          <w:sz w:val="20"/>
          <w:szCs w:val="20"/>
        </w:rPr>
        <w:tab/>
        <w:t xml:space="preserve">Po II wojnie światowej objął katedrę egzegezy Starego Testamentu na Uniwersytecie Jagiellońskim w Krakowie. Wkrótce zorganizował dwa zjazdy naukowe Towarzystwa Teologicznego: w 1946 r. w Lublinie, </w:t>
        <w:br/>
        <w:t>a w 1948 r. w Krakowie.</w:t>
      </w:r>
    </w:p>
    <w:p>
      <w:pPr>
        <w:pStyle w:val="style29"/>
        <w:jc w:val="both"/>
      </w:pPr>
      <w:r>
        <w:rPr>
          <w:rFonts w:ascii="Arial" w:cs="Times New Roman" w:hAnsi="Arial"/>
          <w:sz w:val="20"/>
          <w:szCs w:val="20"/>
        </w:rPr>
        <w:tab/>
        <w:t>W latach 1948-1952 był dziekanem Wydziału Teologicznego Uniwersytetu Jagiellońskiego. Tutaj spotkał studenta Karola Wojtyłę. Zdany przez niego egzamin ocenił na: „celujący”.</w:t>
      </w:r>
    </w:p>
    <w:p>
      <w:pPr>
        <w:pStyle w:val="style29"/>
        <w:jc w:val="both"/>
      </w:pPr>
      <w:r>
        <w:rPr>
          <w:rFonts w:ascii="Arial" w:cs="Times New Roman" w:hAnsi="Arial"/>
          <w:sz w:val="20"/>
          <w:szCs w:val="20"/>
        </w:rPr>
        <w:tab/>
        <w:t xml:space="preserve">Ich drogi jeszcze wielokrotnie się krzyżowały (m. in. obrona pracy doktorskiej K. Wojtyły, współpraca z „Tygodnikiem Powszechnym”). Jak napisał Robert Zimny, autor książki „Całe życie z Biblią”, w 1954 r. </w:t>
        <w:br/>
        <w:t>ks. prof. Aleksy Klawek powrócił na Uniwersytet i wykładał na kierunku semistycznym w Katedrze Filologii Orientalnej, bowiem znał doskonale wiele języków, a wśród nich -  arabski i aramejski.</w:t>
      </w:r>
    </w:p>
    <w:p>
      <w:pPr>
        <w:pStyle w:val="style29"/>
        <w:jc w:val="both"/>
      </w:pPr>
      <w:r>
        <w:rPr>
          <w:rFonts w:ascii="Arial" w:cs="Times New Roman" w:hAnsi="Arial"/>
          <w:sz w:val="20"/>
          <w:szCs w:val="20"/>
        </w:rPr>
        <w:tab/>
        <w:t xml:space="preserve">Ks. prof. Klawek zmarł po trudnej operacji 22 listopada 1969 r. w Klinice Medycznej w Katowicach. Nawet wówczas, oczekując na operację, wykorzystywał cenny czas – czytał „Pismo Św.” i pisał artykuły </w:t>
        <w:br/>
        <w:t xml:space="preserve">do „Apostolstwa Chorych”. Na krótko przed śmiercią odmówił brewiarz i różaniec, a potem powiedział </w:t>
        <w:br/>
        <w:t>do Bliskich: „Czas, abym odszedł. Wy zaś uwielbiajcie Boga i wysławiajcie Tego, który mnie posłał”. Spoczął w rodzinnym grobie w Rogoźnie, na którym – zgodnie z Jego życzeniem – umieszczono napis „PAX et LUX” („pokój i światło”) oraz greckie litery – Alfa i Omega (początek i koniec).</w:t>
      </w:r>
    </w:p>
    <w:p>
      <w:pPr>
        <w:pStyle w:val="style29"/>
        <w:jc w:val="both"/>
      </w:pPr>
      <w:r>
        <w:rPr>
          <w:rFonts w:ascii="Arial" w:cs="Times New Roman" w:hAnsi="Arial"/>
          <w:sz w:val="20"/>
          <w:szCs w:val="20"/>
        </w:rPr>
        <w:tab/>
        <w:t xml:space="preserve">Uroczystości pogrzebowe ks. Klawka przebiegały w trzech etapach. 25 listopada odprawiono nabożeństwo żałobne w katowickiej Katedrze. Tego samego dnia kard. Wojtyła odprawił mszę żałobną </w:t>
        <w:br/>
        <w:t xml:space="preserve">w Kościele św. Anny w Krakowie, a 26 listopada 1969 r. biskup Fr. Jedwabski odprawił mszę żałobną </w:t>
        <w:br/>
        <w:t>w Kościele św. Wita w Rogoźnie, podczas której homilię wygłosił dziekan Papieskiego Wydziału Teologicznego w Krakowie, były student prof. Klawka, ks. Wł. Smereka.</w:t>
      </w:r>
    </w:p>
    <w:p>
      <w:pPr>
        <w:pStyle w:val="style29"/>
        <w:jc w:val="both"/>
      </w:pPr>
      <w:r>
        <w:rPr>
          <w:rFonts w:ascii="Arial" w:cs="Times New Roman" w:hAnsi="Arial"/>
          <w:sz w:val="20"/>
          <w:szCs w:val="20"/>
        </w:rPr>
        <w:tab/>
        <w:t>Mieszkaniec Rogoźna – A. W. Weigel napisał wiersz pt. „Wspomnienie”, który na uroczystości pogrzebowej recytowała córka p. Weigla – Dorota. Wiersz kończył się słowami:</w:t>
      </w:r>
    </w:p>
    <w:p>
      <w:pPr>
        <w:pStyle w:val="style29"/>
        <w:jc w:val="both"/>
      </w:pPr>
      <w:r>
        <w:rPr>
          <w:rFonts w:ascii="Arial" w:cs="Times New Roman" w:hAnsi="Arial"/>
          <w:i/>
          <w:iCs/>
          <w:sz w:val="20"/>
          <w:szCs w:val="20"/>
        </w:rPr>
        <w:t>„</w:t>
      </w:r>
      <w:r>
        <w:rPr>
          <w:rFonts w:ascii="Arial" w:cs="Times New Roman" w:hAnsi="Arial"/>
          <w:i/>
          <w:iCs/>
          <w:sz w:val="20"/>
          <w:szCs w:val="20"/>
        </w:rPr>
        <w:t>Księże Klawku – dźwignio wiary,</w:t>
      </w:r>
    </w:p>
    <w:p>
      <w:pPr>
        <w:pStyle w:val="style29"/>
        <w:jc w:val="both"/>
      </w:pPr>
      <w:r>
        <w:rPr>
          <w:rFonts w:ascii="Arial" w:cs="Times New Roman" w:hAnsi="Arial"/>
          <w:i/>
          <w:iCs/>
          <w:sz w:val="20"/>
          <w:szCs w:val="20"/>
        </w:rPr>
        <w:t>Niech Ci Bóg zbawienie da,</w:t>
      </w:r>
    </w:p>
    <w:p>
      <w:pPr>
        <w:pStyle w:val="style29"/>
        <w:jc w:val="both"/>
      </w:pPr>
      <w:r>
        <w:rPr>
          <w:rFonts w:ascii="Arial" w:cs="Times New Roman" w:hAnsi="Arial"/>
          <w:i/>
          <w:iCs/>
          <w:sz w:val="20"/>
          <w:szCs w:val="20"/>
        </w:rPr>
        <w:t>Nie zapomnij go, człowieku,</w:t>
      </w:r>
    </w:p>
    <w:p>
      <w:pPr>
        <w:pStyle w:val="style29"/>
        <w:jc w:val="both"/>
      </w:pPr>
      <w:r>
        <w:rPr>
          <w:rFonts w:ascii="Arial" w:cs="Times New Roman" w:hAnsi="Arial"/>
          <w:i/>
          <w:iCs/>
          <w:sz w:val="20"/>
          <w:szCs w:val="20"/>
        </w:rPr>
        <w:t>Jego pamięć wiecznie trwa”.</w:t>
      </w:r>
    </w:p>
    <w:p>
      <w:pPr>
        <w:pStyle w:val="style29"/>
        <w:jc w:val="both"/>
      </w:pPr>
      <w:r>
        <w:rPr>
          <w:rFonts w:ascii="Arial" w:cs="Times New Roman" w:hAnsi="Arial"/>
          <w:sz w:val="20"/>
          <w:szCs w:val="20"/>
        </w:rPr>
        <w:tab/>
        <w:t xml:space="preserve">W 1973 r. do Wągrowca na zjazd biblistów został zaproszony kardynał Karol Wojtyła. Zatrzymał się w Rogoźnie, aby odwiedzić grób swego ukochanego profesora – ks. Klawka. To wydarzenie upamiętnia tablica umieszczona obok grobu ks. profesora. Natomiast tablica pamiątkowa, umieszczona w Kościele </w:t>
        <w:br/>
        <w:t>św. Wita, zawiera motto najtrafniej charakteryzujące pracę ks. prof. Klawka:</w:t>
      </w:r>
    </w:p>
    <w:p>
      <w:pPr>
        <w:pStyle w:val="style29"/>
        <w:jc w:val="both"/>
      </w:pPr>
      <w:r>
        <w:rPr>
          <w:rFonts w:ascii="Arial" w:cs="Times New Roman" w:hAnsi="Arial"/>
          <w:sz w:val="20"/>
          <w:szCs w:val="20"/>
        </w:rPr>
        <w:t>„</w:t>
      </w:r>
      <w:r>
        <w:rPr>
          <w:rFonts w:ascii="Arial" w:cs="Times New Roman" w:hAnsi="Arial"/>
          <w:sz w:val="20"/>
          <w:szCs w:val="20"/>
        </w:rPr>
        <w:t>Którzy mnie objaśniają, posiądą żywot wieczny”.</w:t>
      </w:r>
    </w:p>
    <w:p>
      <w:pPr>
        <w:pStyle w:val="style29"/>
        <w:jc w:val="both"/>
      </w:pPr>
      <w:r>
        <w:rPr>
          <w:rFonts w:ascii="Arial" w:cs="Times New Roman" w:hAnsi="Arial"/>
          <w:sz w:val="20"/>
          <w:szCs w:val="20"/>
        </w:rPr>
        <w:tab/>
        <w:t xml:space="preserve">Był osobą o nieprzeciętnych zdolnościach organizacyjnych, a także był „strażnikiem pamięci” – przypominał cenionych wykładowców poprzez wydawanie ksiąg pamiątkowych i fundowanie tablic pamiątkowych (np. dla uczczenia zamordowanych przez hitlerowców w 1941 r. naukowców lwowskich). </w:t>
        <w:br/>
        <w:t xml:space="preserve">Był też propagatorem prawdziwego ekumenizmu – Jego wykłady i seminaria były otwarte dla wszystkich: Polaków, Ormian i Żydów. </w:t>
      </w:r>
    </w:p>
    <w:p>
      <w:pPr>
        <w:pStyle w:val="style29"/>
        <w:spacing w:line="100" w:lineRule="atLeast"/>
        <w:jc w:val="both"/>
      </w:pPr>
      <w:r>
        <w:rPr>
          <w:rFonts w:ascii="Arial" w:cs="Times New Roman" w:hAnsi="Arial"/>
          <w:sz w:val="20"/>
          <w:szCs w:val="20"/>
        </w:rPr>
        <w:tab/>
      </w:r>
      <w:r>
        <w:rPr>
          <w:rFonts w:ascii="Arial" w:cs="Times New Roman" w:hAnsi="Arial"/>
          <w:b w:val="false"/>
          <w:bCs w:val="false"/>
          <w:sz w:val="20"/>
          <w:szCs w:val="20"/>
        </w:rPr>
        <w:t>Przemijania nie zatrzymamy, ale zachowajmy pamięć o tak wspaniałym Synu Ziemi Rogozińskiej – ks. prof. Aleksym Klawku…</w:t>
      </w:r>
    </w:p>
    <w:p>
      <w:pPr>
        <w:pStyle w:val="style29"/>
        <w:spacing w:line="100" w:lineRule="atLeast"/>
        <w:jc w:val="both"/>
      </w:pPr>
      <w:bookmarkStart w:id="0" w:name="_GoBack"/>
      <w:bookmarkStart w:id="1" w:name="_GoBack"/>
      <w:bookmarkEnd w:id="1"/>
      <w:r>
        <w:rPr>
          <w:rFonts w:ascii="Arial" w:hAnsi="Arial"/>
          <w:sz w:val="20"/>
          <w:szCs w:val="20"/>
        </w:rPr>
      </w:r>
    </w:p>
    <w:p>
      <w:pPr>
        <w:pStyle w:val="style0"/>
        <w:spacing w:line="100" w:lineRule="atLeast"/>
        <w:jc w:val="both"/>
      </w:pPr>
      <w:r>
        <w:rPr>
          <w:rFonts w:ascii="Arial" w:cs="Times New Roman" w:hAnsi="Arial"/>
          <w:i/>
          <w:sz w:val="16"/>
          <w:szCs w:val="16"/>
        </w:rPr>
        <w:t>(Lucyna Bełch, Ewa Mroczyk)</w:t>
      </w:r>
    </w:p>
    <w:sectPr>
      <w:type w:val="nextPage"/>
      <w:pgSz w:h="16838" w:w="11906"/>
      <w:pgMar w:bottom="1134" w:footer="0" w:gutter="0" w:header="0" w:left="1134" w:right="1134" w:top="1134"/>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pl-PL"/>
    </w:rPr>
  </w:style>
  <w:style w:styleId="style2" w:type="paragraph">
    <w:name w:val="Nagłówek 2"/>
    <w:basedOn w:val="style0"/>
    <w:next w:val="style23"/>
    <w:pPr>
      <w:numPr>
        <w:ilvl w:val="1"/>
        <w:numId w:val="1"/>
      </w:numPr>
      <w:spacing w:after="28" w:before="28" w:line="100" w:lineRule="atLeast"/>
      <w:outlineLvl w:val="1"/>
    </w:pPr>
    <w:rPr>
      <w:rFonts w:ascii="Times New Roman" w:cs="Times New Roman" w:eastAsia="Times New Roman" w:hAnsi="Times New Roman"/>
      <w:b/>
      <w:bCs/>
      <w:sz w:val="36"/>
      <w:szCs w:val="36"/>
      <w:lang w:eastAsia="pl-PL"/>
    </w:rPr>
  </w:style>
  <w:style w:styleId="style15" w:type="character">
    <w:name w:val="Default Paragraph Font"/>
    <w:next w:val="style15"/>
    <w:rPr/>
  </w:style>
  <w:style w:styleId="style16" w:type="character">
    <w:name w:val="Nagłówek 2 Znak"/>
    <w:basedOn w:val="style15"/>
    <w:next w:val="style16"/>
    <w:rPr>
      <w:rFonts w:ascii="Times New Roman" w:cs="Times New Roman" w:eastAsia="Times New Roman" w:hAnsi="Times New Roman"/>
      <w:b/>
      <w:bCs/>
      <w:sz w:val="36"/>
      <w:szCs w:val="36"/>
      <w:lang w:eastAsia="pl-PL"/>
    </w:rPr>
  </w:style>
  <w:style w:styleId="style17" w:type="character">
    <w:name w:val="Mocno wyróżniony"/>
    <w:basedOn w:val="style15"/>
    <w:next w:val="style17"/>
    <w:rPr>
      <w:b/>
      <w:bCs/>
    </w:rPr>
  </w:style>
  <w:style w:styleId="style18" w:type="character">
    <w:name w:val="apple-converted-space"/>
    <w:basedOn w:val="style15"/>
    <w:next w:val="style18"/>
    <w:rPr/>
  </w:style>
  <w:style w:styleId="style19" w:type="character">
    <w:name w:val="Tekst dymka Znak"/>
    <w:basedOn w:val="style15"/>
    <w:next w:val="style19"/>
    <w:rPr>
      <w:rFonts w:ascii="Tahoma" w:cs="Tahoma" w:hAnsi="Tahoma"/>
      <w:sz w:val="16"/>
      <w:szCs w:val="16"/>
    </w:rPr>
  </w:style>
  <w:style w:styleId="style20" w:type="character">
    <w:name w:val="Łącze internetowe"/>
    <w:basedOn w:val="style15"/>
    <w:next w:val="style20"/>
    <w:rPr>
      <w:color w:val="0000FF"/>
      <w:u w:val="single"/>
      <w:lang w:bidi="pl-PL" w:eastAsia="pl-PL" w:val="pl-PL"/>
    </w:rPr>
  </w:style>
  <w:style w:styleId="style21" w:type="character">
    <w:name w:val="mw-headline"/>
    <w:basedOn w:val="style15"/>
    <w:next w:val="style21"/>
    <w:rPr/>
  </w:style>
  <w:style w:styleId="style22" w:type="paragraph">
    <w:name w:val="Nagłówek"/>
    <w:basedOn w:val="style0"/>
    <w:next w:val="style23"/>
    <w:pPr>
      <w:keepNext/>
      <w:spacing w:after="120" w:before="240"/>
    </w:pPr>
    <w:rPr>
      <w:rFonts w:ascii="Arial" w:cs="Mangal" w:eastAsia="Microsoft YaHei" w:hAnsi="Arial"/>
      <w:sz w:val="28"/>
      <w:szCs w:val="28"/>
    </w:rPr>
  </w:style>
  <w:style w:styleId="style23" w:type="paragraph">
    <w:name w:val="Treść tekstu"/>
    <w:basedOn w:val="style0"/>
    <w:next w:val="style23"/>
    <w:pPr>
      <w:spacing w:after="120" w:before="0"/>
    </w:pPr>
    <w:rPr/>
  </w:style>
  <w:style w:styleId="style24" w:type="paragraph">
    <w:name w:val="Lista"/>
    <w:basedOn w:val="style23"/>
    <w:next w:val="style24"/>
    <w:pPr/>
    <w:rPr>
      <w:rFonts w:cs="Mangal"/>
    </w:rPr>
  </w:style>
  <w:style w:styleId="style25" w:type="paragraph">
    <w:name w:val="Podpis"/>
    <w:basedOn w:val="style0"/>
    <w:next w:val="style25"/>
    <w:pPr>
      <w:suppressLineNumbers/>
      <w:spacing w:after="120" w:before="120"/>
    </w:pPr>
    <w:rPr>
      <w:rFonts w:cs="Mangal"/>
      <w:i/>
      <w:iCs/>
      <w:sz w:val="24"/>
      <w:szCs w:val="24"/>
    </w:rPr>
  </w:style>
  <w:style w:styleId="style26" w:type="paragraph">
    <w:name w:val="Indeks"/>
    <w:basedOn w:val="style0"/>
    <w:next w:val="style26"/>
    <w:pPr>
      <w:suppressLineNumbers/>
    </w:pPr>
    <w:rPr>
      <w:rFonts w:cs="Mangal"/>
    </w:rPr>
  </w:style>
  <w:style w:styleId="style27" w:type="paragraph">
    <w:name w:val="Balloon Text"/>
    <w:basedOn w:val="style0"/>
    <w:next w:val="style27"/>
    <w:pPr>
      <w:spacing w:after="0" w:before="0" w:line="100" w:lineRule="atLeast"/>
    </w:pPr>
    <w:rPr>
      <w:rFonts w:ascii="Tahoma" w:cs="Tahoma" w:hAnsi="Tahoma"/>
      <w:sz w:val="16"/>
      <w:szCs w:val="16"/>
    </w:rPr>
  </w:style>
  <w:style w:styleId="style28" w:type="paragraph">
    <w:name w:val="Normal (Web)"/>
    <w:basedOn w:val="style0"/>
    <w:next w:val="style28"/>
    <w:pPr>
      <w:spacing w:after="28" w:before="28" w:line="100" w:lineRule="atLeast"/>
    </w:pPr>
    <w:rPr>
      <w:rFonts w:ascii="Times New Roman" w:cs="Times New Roman" w:eastAsia="Times New Roman" w:hAnsi="Times New Roman"/>
      <w:sz w:val="24"/>
      <w:szCs w:val="24"/>
      <w:lang w:eastAsia="pl-PL"/>
    </w:rPr>
  </w:style>
  <w:style w:styleId="style29" w:type="paragraph">
    <w:name w:val="No Spacing"/>
    <w:next w:val="style29"/>
    <w:pPr>
      <w:widowControl/>
      <w:tabs>
        <w:tab w:leader="none" w:pos="708" w:val="left"/>
      </w:tabs>
      <w:suppressAutoHyphens w:val="true"/>
      <w:spacing w:after="0" w:before="0" w:line="100" w:lineRule="atLeast"/>
    </w:pPr>
    <w:rPr>
      <w:rFonts w:ascii="Calibri" w:cs="" w:eastAsia="SimSun" w:hAnsi="Calibri"/>
      <w:color w:val="auto"/>
      <w:sz w:val="22"/>
      <w:szCs w:val="22"/>
      <w:lang w:bidi="ar-SA" w:eastAsia="en-US" w:val="pl-P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278</TotalTime>
  <Application>OpenOffice.ux.pl/3.4$Win32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2015-05-28T20:10:00.00Z</dcterms:created>
  <dc:creator>Jacek Bełch</dc:creator>
  <cp:lastModifiedBy>Ania</cp:lastModifiedBy>
  <dcterms:modified xsi:type="dcterms:W3CDTF">2015-06-17T15:36:00.00Z</dcterms:modified>
  <cp:revision>18</cp:revision>
</cp:coreProperties>
</file>